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</w:pPr>
      <w:r>
        <w:t xml:space="preserve">과거 발주 사례 A — 하늘물산 업무포털 1차 구축 (성공)</w:t>
      </w:r>
    </w:p>
    <w:p>
      <w:pPr>
        <w:spacing w:after="120"/>
      </w:pPr>
      <w:r>
        <w:rPr>
          <w:sz w:val="16"/>
          <w:szCs w:val="16"/>
        </w:rPr>
        <w:t xml:space="preserve">※ 교육용 가상 자료입니다. 실존 기업·사업과 무관합니다.</w:t>
      </w:r>
    </w:p>
    <w:p>
      <w:pPr>
        <w:pStyle w:val="Heading2"/>
        <w:spacing w:after="120"/>
      </w:pPr>
      <w:r>
        <w:t xml:space="preserve">1. 사업 개요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7200"/>
      </w:tblGrid>
      <w:tr>
        <w:tc>
          <w:tcPr>
            <w:tcW w:type="dxa" w:w="1800"/>
            <w:shd w:fill="E8E8F5" w:val="clear"/>
          </w:tcPr>
          <w:p>
            <w:r>
              <w:rPr>
                <w:b/>
                <w:bCs/>
              </w:rPr>
              <w:t xml:space="preserve">항목</w:t>
            </w:r>
          </w:p>
        </w:tc>
        <w:tc>
          <w:tcPr>
            <w:tcW w:type="dxa" w:w="7200"/>
            <w:shd w:fill="E8E8F5" w:val="clear"/>
          </w:tcPr>
          <w:p>
            <w:r>
              <w:rPr>
                <w:b/>
                <w:bCs/>
              </w:rPr>
              <w:t xml:space="preserve">내용</w:t>
            </w:r>
          </w:p>
        </w:tc>
      </w:tr>
      <w:tr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사업명</w:t>
            </w:r>
          </w:p>
        </w:tc>
        <w:tc>
          <w:tcPr>
            <w:tcW w:type="dxa" w:w="7200"/>
          </w:tcPr>
          <w:p>
            <w:r>
              <w:rPr>
                <w:b w:val="false"/>
                <w:bCs w:val="false"/>
              </w:rPr>
              <w:t xml:space="preserve">하늘물산 그룹 업무포털 1차 구축</w:t>
            </w:r>
          </w:p>
        </w:tc>
      </w:tr>
      <w:tr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발주 부서</w:t>
            </w:r>
          </w:p>
        </w:tc>
        <w:tc>
          <w:tcPr>
            <w:tcW w:type="dxa" w:w="7200"/>
          </w:tcPr>
          <w:p>
            <w:r>
              <w:rPr>
                <w:b w:val="false"/>
                <w:bCs w:val="false"/>
              </w:rPr>
              <w:t xml:space="preserve">구매팀 (현업: 경영지원본부)</w:t>
            </w:r>
          </w:p>
        </w:tc>
      </w:tr>
      <w:tr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예산 / 기간</w:t>
            </w:r>
          </w:p>
        </w:tc>
        <w:tc>
          <w:tcPr>
            <w:tcW w:type="dxa" w:w="7200"/>
          </w:tcPr>
          <w:p>
            <w:r>
              <w:rPr>
                <w:b w:val="false"/>
                <w:bCs w:val="false"/>
              </w:rPr>
              <w:t xml:space="preserve">8억 원 / 6개월 (2023.03 ~ 2023.08)</w:t>
            </w:r>
          </w:p>
        </w:tc>
      </w:tr>
      <w:tr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사업 범위</w:t>
            </w:r>
          </w:p>
        </w:tc>
        <w:tc>
          <w:tcPr>
            <w:tcW w:type="dxa" w:w="7200"/>
          </w:tcPr>
          <w:p>
            <w:r>
              <w:rPr>
                <w:b w:val="false"/>
                <w:bCs w:val="false"/>
              </w:rPr>
              <w:t xml:space="preserve">전자결재·사내 게시판·조직도 검색 등 핵심 모듈 우선 구축</w:t>
            </w:r>
          </w:p>
        </w:tc>
      </w:tr>
      <w:tr>
        <w:tc>
          <w:tcPr>
            <w:tcW w:type="dxa" w:w="1800"/>
          </w:tcPr>
          <w:p>
            <w:r>
              <w:rPr>
                <w:b w:val="false"/>
                <w:bCs w:val="false"/>
              </w:rPr>
              <w:t xml:space="preserve">결과</w:t>
            </w:r>
          </w:p>
        </w:tc>
        <w:tc>
          <w:tcPr>
            <w:tcW w:type="dxa" w:w="7200"/>
          </w:tcPr>
          <w:p>
            <w:r>
              <w:rPr>
                <w:b w:val="false"/>
                <w:bCs w:val="false"/>
              </w:rPr>
              <w:t xml:space="preserve">일정 준수 · 예산 내 검수 완료 · 2차 확장 사업으로 연계</w:t>
            </w:r>
          </w:p>
        </w:tc>
      </w:tr>
    </w:tbl>
    <w:p>
      <w:pPr>
        <w:pStyle w:val="Heading2"/>
        <w:spacing w:after="120"/>
      </w:pPr>
      <w:r>
        <w:t xml:space="preserve">2. 발주 방식 — 단계별 분할 발주</w:t>
      </w:r>
    </w:p>
    <w:p>
      <w:pPr>
        <w:spacing w:after="120"/>
      </w:pPr>
      <w:r>
        <w:t xml:space="preserve">당초 전체 기능(포털·모바일·전자결재·문서관리)을 한 번에 발주하는 15억 원 규모 통합 발주안이 검토되었으나, 예산 확보 불확실성과 요구사항 변동 가능성이 커서 핵심 모듈 우선 구축 후 단계 확장하는 분할 발주로 전환했다.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1차: 핵심 모듈(전자결재·게시판·조직도) — 8억 원, 6개월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2차: 확장 모듈(모바일 앱·문서관리·통계) — 1차 검수 결과를 반영해 별도 발주</w:t>
      </w:r>
    </w:p>
    <w:p>
      <w:pPr>
        <w:pStyle w:val="Heading2"/>
        <w:spacing w:after="120"/>
      </w:pPr>
      <w:r>
        <w:t xml:space="preserve">3. 경과</w:t>
      </w:r>
    </w:p>
    <w:p>
      <w:pPr>
        <w:spacing w:after="120"/>
      </w:pPr>
      <w:r>
        <w:t xml:space="preserve">제안 요건을 "동종 시스템 구축 실적 1건 이상"으로 넓게 잡아 5개사가 응찰, 유효 경쟁이 성립했다. 기술 평가 배점을 높여 중견 전문업체가 낙찰되었고, 요구사항을 1차 범위로 동결한 덕분에 구축 중 변경 요청이 3건에 그쳤다.</w:t>
      </w:r>
    </w:p>
    <w:p>
      <w:pPr>
        <w:pStyle w:val="Heading2"/>
        <w:spacing w:after="120"/>
      </w:pPr>
      <w:r>
        <w:t xml:space="preserve">4. 성과 및 교훈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교훈 1 — 예산이 빠듯하면 단계별 분할 발주가 유효하다. 1차 결과를 검증한 뒤 2차 범위를 확정해 예산 리스크를 낮출 수 있었다.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교훈 2 — 제안 요건을 넓게 잡아야 유효 경쟁이 성립하고 낙찰 조건이 좋아진다.</w:t>
      </w:r>
    </w:p>
    <w:p>
      <w:pPr>
        <w:pStyle w:val="ListParagraph"/>
        <w:numPr>
          <w:ilvl w:val="0"/>
          <w:numId w:val="2"/>
        </w:numPr>
        <w:spacing w:after="120"/>
      </w:pPr>
      <w:r>
        <w:t xml:space="preserve">교훈 3 — 발주 전 요구사항 동결 시점을 명시하면 구축 중 분쟁이 줄어든다.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cs="Malgun Gothic" w:eastAsia="Malgun Gothic" w:hAnsi="Malgun Gothi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2026-07-19T01:52:01.834Z</dcterms:created>
  <dcterms:modified xsi:type="dcterms:W3CDTF">2026-07-19T01:52:01.846Z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